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1236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6153-75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>, Ханты-Мансийского 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628449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18</w:t>
      </w:r>
      <w:r>
        <w:rPr>
          <w:rStyle w:val="cat-UserDefinedgrp-24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5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10" w:after="0" w:line="317" w:lineRule="atLeast"/>
        <w:ind w:left="4339"/>
      </w:pP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1.09.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18:01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5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 административный надзор,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ограничение, предусмотренное федеральным законом, а именно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явился на регистрацию в ОМВД России по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eastAsia="Times New Roman" w:hAnsi="Times New Roman" w:cs="Times New Roman"/>
          <w:sz w:val="28"/>
          <w:szCs w:val="28"/>
        </w:rPr>
        <w:t>, повторно в течении 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 полностью раскаялся в содеянном.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>86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502</w:t>
      </w:r>
      <w:r>
        <w:rPr>
          <w:rFonts w:ascii="Times New Roman" w:eastAsia="Times New Roman" w:hAnsi="Times New Roman" w:cs="Times New Roman"/>
          <w:sz w:val="28"/>
          <w:szCs w:val="28"/>
        </w:rPr>
        <w:t>922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23.0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суда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.03.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если эти действия (бездействие)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3 ст. 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-влечет обязательные работы на срок до сорока часов либо административный арест на срок от десяти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приходит к выводу о необходимости назначения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ареста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19.24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ареста на срок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тринадцать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суток.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Срок отбы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исчислять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момента оглашения постановления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5840903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4rplc-12">
    <w:name w:val="cat-UserDefined grp-24 rplc-12"/>
    <w:basedOn w:val="DefaultParagraphFont"/>
  </w:style>
  <w:style w:type="character" w:customStyle="1" w:styleId="cat-UserDefinedgrp-25rplc-14">
    <w:name w:val="cat-UserDefined grp-25 rplc-14"/>
    <w:basedOn w:val="DefaultParagraphFont"/>
  </w:style>
  <w:style w:type="character" w:customStyle="1" w:styleId="cat-UserDefinedgrp-25rplc-21">
    <w:name w:val="cat-UserDefined grp-25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84517.4" TargetMode="External" /><Relationship Id="rId5" Type="http://schemas.openxmlformats.org/officeDocument/2006/relationships/hyperlink" Target="garantF1://10008000.31401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CC75F-6F21-43D6-A1B3-F091DB87FFC2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